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8A" w:rsidRPr="00B05E9E" w:rsidRDefault="005E3D14">
      <w:pPr>
        <w:pStyle w:val="Heading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Xb61cee1cedfa0b5a0467e9deb7ded3164adfa11"/>
      <w:r w:rsidRPr="00B05E9E">
        <w:rPr>
          <w:rFonts w:ascii="Times New Roman" w:hAnsi="Times New Roman" w:cs="Times New Roman"/>
          <w:color w:val="auto"/>
          <w:sz w:val="28"/>
          <w:szCs w:val="28"/>
          <w:lang w:val="ru-RU"/>
        </w:rPr>
        <w:t>О правовых последствиях совершения правонарушений экстремистской и террористической направленности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b/>
          <w:bCs/>
          <w:lang w:val="ru-RU"/>
        </w:rPr>
        <w:t>О правовых последствиях совершения правонарушений</w:t>
      </w:r>
      <w:r>
        <w:rPr>
          <w:b/>
          <w:bCs/>
        </w:rPr>
        <w:t> </w:t>
      </w:r>
      <w:r w:rsidRPr="00B05E9E">
        <w:rPr>
          <w:b/>
          <w:bCs/>
          <w:lang w:val="ru-RU"/>
        </w:rPr>
        <w:t>экстремистской и террористической направленности</w:t>
      </w:r>
    </w:p>
    <w:p w:rsidR="00AA518A" w:rsidRPr="00B05E9E" w:rsidRDefault="005E3D14">
      <w:pPr>
        <w:pStyle w:val="a3"/>
        <w:rPr>
          <w:lang w:val="ru-RU"/>
        </w:rPr>
      </w:pPr>
      <w:proofErr w:type="gramStart"/>
      <w:r w:rsidRPr="00B05E9E">
        <w:rPr>
          <w:lang w:val="ru-RU"/>
        </w:rPr>
        <w:t>На основании Федерального закона от 25 июля 2002 г. № 114-ФЗ</w:t>
      </w:r>
      <w:r>
        <w:t> </w:t>
      </w:r>
      <w:r w:rsidRPr="00B05E9E">
        <w:rPr>
          <w:lang w:val="ru-RU"/>
        </w:rPr>
        <w:t>«О противодействии экстремистской деятельности», Федерального закона</w:t>
      </w:r>
      <w:r>
        <w:t> </w:t>
      </w:r>
      <w:r w:rsidRPr="00B05E9E">
        <w:rPr>
          <w:lang w:val="ru-RU"/>
        </w:rPr>
        <w:t>от 6 марта 2006 г. № 35-ФЗ «О противодействии терроризму» за осуществление экстремистской и террористической деятельности граждане Российской Федерации, иностранные граждане и лица без гражданства несут ответственность в установленном законодательством Российской Федерации порядке.</w:t>
      </w:r>
      <w:proofErr w:type="gramEnd"/>
    </w:p>
    <w:p w:rsidR="00AA518A" w:rsidRPr="00B05E9E" w:rsidRDefault="005E3D14">
      <w:pPr>
        <w:pStyle w:val="a3"/>
        <w:rPr>
          <w:lang w:val="ru-RU"/>
        </w:rPr>
      </w:pPr>
      <w:r w:rsidRPr="00B05E9E">
        <w:rPr>
          <w:b/>
          <w:bCs/>
          <w:lang w:val="ru-RU"/>
        </w:rPr>
        <w:t>Экстремизм</w:t>
      </w:r>
      <w:r w:rsidRPr="00B05E9E">
        <w:rPr>
          <w:lang w:val="ru-RU"/>
        </w:rPr>
        <w:t xml:space="preserve"> – это приверженность крайним взглядам и мерам.</w:t>
      </w:r>
    </w:p>
    <w:p w:rsidR="00AA518A" w:rsidRPr="00B05E9E" w:rsidRDefault="005E3D14">
      <w:pPr>
        <w:pStyle w:val="a3"/>
        <w:rPr>
          <w:lang w:val="ru-RU"/>
        </w:rPr>
      </w:pPr>
      <w:proofErr w:type="gramStart"/>
      <w:r w:rsidRPr="00B05E9E">
        <w:rPr>
          <w:lang w:val="ru-RU"/>
        </w:rPr>
        <w:t>Исходя из положений Уголовного кодекса Российской Федерации к числу преступлений экстремистской направленности относятся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предусмотренные соответствующими статьями Особенной части Уголовного кодекса Российской Федерации (например, ст.ст. 280, 282, 282.1, 282.2 УК РФ, п. «л» ч. 2 ст</w:t>
      </w:r>
      <w:proofErr w:type="gramEnd"/>
      <w:r w:rsidRPr="00B05E9E">
        <w:rPr>
          <w:lang w:val="ru-RU"/>
        </w:rPr>
        <w:t>. 105, п. «е» ч.2 ст.111 УК РФ, п</w:t>
      </w:r>
      <w:proofErr w:type="gramStart"/>
      <w:r w:rsidRPr="00B05E9E">
        <w:rPr>
          <w:lang w:val="ru-RU"/>
        </w:rPr>
        <w:t>.«</w:t>
      </w:r>
      <w:proofErr w:type="gramEnd"/>
      <w:r w:rsidRPr="00B05E9E">
        <w:rPr>
          <w:lang w:val="ru-RU"/>
        </w:rPr>
        <w:t>б» ч.1 ст.213 УК РФ).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В Уголовном кодексе Российской Федерации 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рассматривается в качестве отягчающего обстоятельства.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Совершение подобных преступлений влечет наказание вплоть до лишения свободы на определенный срок либо пожизненного лишения свободы в случае убийства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Уголовное преследование либо назначение любого вида наказания за совершение преступлений экстремистской направленности (даже не связанного с лишением свободы) влечет ряд ограничений в дальнейшем.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Человеку, участвовавшему в осуществлении экстремистской деятельности, по решению суда может быть ограничен доступ: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- к государственной и муниципальной службе;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- к занятию охранной и частной детективной деятельностью;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- к военной службе по контракту;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lastRenderedPageBreak/>
        <w:t>- к службе в правоохранительных органах;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- к работе в образовательных организациях.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При проведении собраний, митингов, демонстраций, шествий и пикетирования не допускается осуществление экстремистской деятельности.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Участникам массовых акций запрещается иметь при себе оружие,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b/>
          <w:bCs/>
          <w:lang w:val="ru-RU"/>
        </w:rPr>
        <w:t>Терроризм</w:t>
      </w:r>
      <w:r w:rsidRPr="00B05E9E">
        <w:rPr>
          <w:lang w:val="ru-RU"/>
        </w:rPr>
        <w:t xml:space="preserve"> – это крайнее проявление экстремизма. Явление, связанное с насилием, угрожающее жизни и здоровью граждан.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Действия и преступления, имеющие террористический характер, регулируются исключительно Уголовным кодексом Российской Федерации,</w:t>
      </w:r>
    </w:p>
    <w:p w:rsidR="00AA518A" w:rsidRPr="00B05E9E" w:rsidRDefault="005E3D14">
      <w:pPr>
        <w:pStyle w:val="a3"/>
        <w:rPr>
          <w:lang w:val="ru-RU"/>
        </w:rPr>
      </w:pPr>
      <w:proofErr w:type="gramStart"/>
      <w:r w:rsidRPr="00B05E9E">
        <w:rPr>
          <w:lang w:val="ru-RU"/>
        </w:rPr>
        <w:t>а именно: статья 205 – террористический акт, то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целях.</w:t>
      </w:r>
      <w:proofErr w:type="gramEnd"/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К преступлениям террористического характера, помимо собственно террористического акта, закон относит содействие террористической деятельности (ст.205.1 УК РФ), публичные призывы к осуществлению террористической деятельности или публичное оправдание терроризма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(ст.205.2 УК РФ), захват заложника (ст.206 УК РФ), заведомо ложное сообщение об акте терроризма (ст.207 УК РФ), посягательство на жизнь государственного или общественного деятеля (ст.277 УК РФ) и др.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lang w:val="ru-RU"/>
        </w:rPr>
        <w:t>Данные преступления влекут за собой наказание в виде лишения свободы на разные сроки, вплоть до двадцати лет, а также пожизненное лишение свободы.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b/>
          <w:bCs/>
          <w:lang w:val="ru-RU"/>
        </w:rPr>
        <w:t>Уголовная ответственность за совершение преступлений</w:t>
      </w:r>
    </w:p>
    <w:p w:rsidR="00AA518A" w:rsidRPr="00B05E9E" w:rsidRDefault="005E3D14">
      <w:pPr>
        <w:pStyle w:val="a3"/>
        <w:rPr>
          <w:lang w:val="ru-RU"/>
        </w:rPr>
      </w:pPr>
      <w:r w:rsidRPr="00B05E9E">
        <w:rPr>
          <w:b/>
          <w:bCs/>
          <w:lang w:val="ru-RU"/>
        </w:rPr>
        <w:t>экстремистского и террористического характера</w:t>
      </w:r>
    </w:p>
    <w:tbl>
      <w:tblPr>
        <w:tblStyle w:val="Table"/>
        <w:tblW w:w="5000" w:type="pct"/>
        <w:tblLook w:val="0000"/>
      </w:tblPr>
      <w:tblGrid>
        <w:gridCol w:w="6994"/>
        <w:gridCol w:w="2911"/>
      </w:tblGrid>
      <w:tr w:rsidR="00AA518A">
        <w:tc>
          <w:tcPr>
            <w:tcW w:w="0" w:type="auto"/>
          </w:tcPr>
          <w:p w:rsidR="00AA518A" w:rsidRDefault="005E3D14">
            <w:proofErr w:type="spellStart"/>
            <w:r>
              <w:rPr>
                <w:b/>
                <w:bCs/>
              </w:rPr>
              <w:t>Статья</w:t>
            </w:r>
            <w:proofErr w:type="spellEnd"/>
            <w:r>
              <w:rPr>
                <w:b/>
                <w:bCs/>
              </w:rPr>
              <w:t xml:space="preserve"> УК РФ</w:t>
            </w:r>
          </w:p>
        </w:tc>
        <w:tc>
          <w:tcPr>
            <w:tcW w:w="0" w:type="auto"/>
          </w:tcPr>
          <w:p w:rsidR="00AA518A" w:rsidRDefault="005E3D14">
            <w:r>
              <w:rPr>
                <w:b/>
                <w:bCs/>
              </w:rPr>
              <w:t>Максимальный срок (размер) наказания</w:t>
            </w:r>
          </w:p>
        </w:tc>
      </w:tr>
      <w:tr w:rsidR="00AA518A" w:rsidRPr="00B121ED"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Статья 150. Вовлечение несовершеннолетнего в совершение преступления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восьми лет</w:t>
            </w:r>
          </w:p>
        </w:tc>
      </w:tr>
      <w:tr w:rsidR="00AA518A">
        <w:tc>
          <w:tcPr>
            <w:tcW w:w="0" w:type="auto"/>
          </w:tcPr>
          <w:p w:rsidR="00AA518A" w:rsidRDefault="005E3D14">
            <w:proofErr w:type="spellStart"/>
            <w:r>
              <w:t>Статья</w:t>
            </w:r>
            <w:proofErr w:type="spellEnd"/>
            <w:r>
              <w:t xml:space="preserve"> 205. Террористический акт</w:t>
            </w:r>
          </w:p>
        </w:tc>
        <w:tc>
          <w:tcPr>
            <w:tcW w:w="0" w:type="auto"/>
          </w:tcPr>
          <w:p w:rsidR="00AA518A" w:rsidRDefault="005E3D14">
            <w:r>
              <w:t xml:space="preserve">Пожизненное лишение </w:t>
            </w:r>
            <w:r>
              <w:lastRenderedPageBreak/>
              <w:t>свободы</w:t>
            </w:r>
          </w:p>
        </w:tc>
      </w:tr>
      <w:tr w:rsidR="00AA518A">
        <w:tc>
          <w:tcPr>
            <w:tcW w:w="0" w:type="auto"/>
          </w:tcPr>
          <w:p w:rsidR="00AA518A" w:rsidRDefault="005E3D14">
            <w:r>
              <w:lastRenderedPageBreak/>
              <w:t>Статья 205.1. Содействие террористической деятельности</w:t>
            </w:r>
          </w:p>
        </w:tc>
        <w:tc>
          <w:tcPr>
            <w:tcW w:w="0" w:type="auto"/>
          </w:tcPr>
          <w:p w:rsidR="00AA518A" w:rsidRDefault="005E3D14">
            <w:r>
              <w:t>Пожизненное лишение свободы</w:t>
            </w:r>
          </w:p>
        </w:tc>
      </w:tr>
      <w:tr w:rsidR="00AA518A" w:rsidRPr="00B121ED"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Статья 205.2. Публичные призывы</w:t>
            </w:r>
            <w:r w:rsidRPr="00B05E9E">
              <w:rPr>
                <w:lang w:val="ru-RU"/>
              </w:rPr>
              <w:br/>
              <w:t>к осуществлению террористической деятельности, публичное оправдание терроризма или пропаганда терроризма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семи лет</w:t>
            </w:r>
            <w:r w:rsidRPr="00B05E9E">
              <w:rPr>
                <w:lang w:val="ru-RU"/>
              </w:rPr>
              <w:br/>
            </w:r>
            <w:r w:rsidRPr="00B05E9E">
              <w:rPr>
                <w:lang w:val="ru-RU"/>
              </w:rPr>
              <w:br/>
            </w:r>
          </w:p>
        </w:tc>
      </w:tr>
      <w:tr w:rsidR="00AA518A">
        <w:tc>
          <w:tcPr>
            <w:tcW w:w="0" w:type="auto"/>
          </w:tcPr>
          <w:p w:rsidR="00AA518A" w:rsidRDefault="005E3D14">
            <w:proofErr w:type="spellStart"/>
            <w:r>
              <w:t>Статья</w:t>
            </w:r>
            <w:proofErr w:type="spellEnd"/>
            <w:r>
              <w:t xml:space="preserve"> 206. Захват заложника</w:t>
            </w:r>
          </w:p>
        </w:tc>
        <w:tc>
          <w:tcPr>
            <w:tcW w:w="0" w:type="auto"/>
          </w:tcPr>
          <w:p w:rsidR="00AA518A" w:rsidRDefault="005E3D14">
            <w:r>
              <w:t>Пожизненное лишение свободы</w:t>
            </w:r>
          </w:p>
        </w:tc>
      </w:tr>
      <w:tr w:rsidR="00AA518A" w:rsidRPr="00B121ED"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Статья 207. Заведомо ложное сообщение об акте терроризма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десяти лет</w:t>
            </w:r>
          </w:p>
        </w:tc>
      </w:tr>
      <w:tr w:rsidR="00AA518A" w:rsidRPr="00B121ED">
        <w:tc>
          <w:tcPr>
            <w:tcW w:w="0" w:type="auto"/>
          </w:tcPr>
          <w:p w:rsidR="00AA518A" w:rsidRDefault="005E3D14">
            <w:proofErr w:type="spellStart"/>
            <w:r>
              <w:t>Статья</w:t>
            </w:r>
            <w:proofErr w:type="spellEnd"/>
            <w:r>
              <w:t xml:space="preserve"> 212. Массовые беспорядки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пятнадцати лет</w:t>
            </w:r>
          </w:p>
        </w:tc>
      </w:tr>
      <w:tr w:rsidR="00AA518A" w:rsidRPr="00B121ED"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Статья 212.1. Неоднократное нарушение установленного порядка организации либо проведения собрания, митинга, демонстрации, шествия или пикетирования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пяти лет</w:t>
            </w:r>
          </w:p>
        </w:tc>
      </w:tr>
      <w:tr w:rsidR="00AA518A" w:rsidRPr="00B121ED"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Статья 280. Публичные призывы</w:t>
            </w:r>
            <w:r w:rsidRPr="00B05E9E">
              <w:rPr>
                <w:lang w:val="ru-RU"/>
              </w:rPr>
              <w:br/>
              <w:t>к осуществлению экстремистской деятельности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пяти лет</w:t>
            </w:r>
          </w:p>
        </w:tc>
      </w:tr>
      <w:tr w:rsidR="00AA518A" w:rsidRPr="00B121ED"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Статья 282. Возбуждение ненависти либо вражды, а равно унижение человеческого достоинства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шести лет</w:t>
            </w:r>
          </w:p>
        </w:tc>
      </w:tr>
      <w:tr w:rsidR="00AA518A" w:rsidRPr="00B121ED">
        <w:tc>
          <w:tcPr>
            <w:tcW w:w="0" w:type="auto"/>
          </w:tcPr>
          <w:p w:rsidR="00AA518A" w:rsidRDefault="005E3D14">
            <w:proofErr w:type="spellStart"/>
            <w:r>
              <w:t>Статья</w:t>
            </w:r>
            <w:proofErr w:type="spellEnd"/>
            <w:r>
              <w:t xml:space="preserve"> 282.1. Организация экстремистского сообщества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двенадцати лет</w:t>
            </w:r>
          </w:p>
        </w:tc>
      </w:tr>
      <w:tr w:rsidR="00AA518A" w:rsidRPr="00B121ED"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Статья 282.2. Организация деятельности экстремистской организации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двенадцати лет</w:t>
            </w:r>
          </w:p>
        </w:tc>
      </w:tr>
      <w:tr w:rsidR="00AA518A" w:rsidRPr="00B121ED">
        <w:tc>
          <w:tcPr>
            <w:tcW w:w="0" w:type="auto"/>
          </w:tcPr>
          <w:p w:rsidR="00AA518A" w:rsidRDefault="005E3D14">
            <w:proofErr w:type="spellStart"/>
            <w:r>
              <w:t>Статья</w:t>
            </w:r>
            <w:proofErr w:type="spellEnd"/>
            <w:r>
              <w:t xml:space="preserve"> 282.3. Финансирование экстремистской деятельности</w:t>
            </w:r>
          </w:p>
        </w:tc>
        <w:tc>
          <w:tcPr>
            <w:tcW w:w="0" w:type="auto"/>
          </w:tcPr>
          <w:p w:rsidR="00AA518A" w:rsidRPr="00B05E9E" w:rsidRDefault="005E3D14">
            <w:pPr>
              <w:rPr>
                <w:lang w:val="ru-RU"/>
              </w:rPr>
            </w:pPr>
            <w:r w:rsidRPr="00B05E9E">
              <w:rPr>
                <w:lang w:val="ru-RU"/>
              </w:rPr>
              <w:t>Лишение свободы на срок до десяти лет</w:t>
            </w:r>
          </w:p>
        </w:tc>
      </w:tr>
    </w:tbl>
    <w:p w:rsidR="00B121ED" w:rsidRPr="00282276" w:rsidRDefault="005E3D14" w:rsidP="00B121ED">
      <w:pPr>
        <w:pStyle w:val="a3"/>
        <w:rPr>
          <w:lang w:val="ru-RU"/>
        </w:rPr>
      </w:pPr>
      <w:r w:rsidRPr="00B05E9E">
        <w:rPr>
          <w:lang w:val="ru-RU"/>
        </w:rPr>
        <w:br/>
      </w:r>
      <w:hyperlink r:id="rId7">
        <w:r w:rsidR="00B121ED" w:rsidRPr="00282276">
          <w:rPr>
            <w:lang w:val="ru-RU"/>
          </w:rPr>
          <w:br/>
        </w:r>
        <w:r w:rsidR="00B121ED" w:rsidRPr="00282276">
          <w:rPr>
            <w:rStyle w:val="aa"/>
            <w:lang w:val="ru-RU"/>
          </w:rPr>
          <w:t>Ссылка на</w:t>
        </w:r>
      </w:hyperlink>
      <w:r w:rsidR="00B121ED" w:rsidRPr="00282276">
        <w:rPr>
          <w:lang w:val="ru-RU"/>
        </w:rPr>
        <w:t xml:space="preserve"> </w:t>
      </w:r>
      <w:hyperlink r:id="rId8">
        <w:r w:rsidR="00B121ED" w:rsidRPr="00282276">
          <w:rPr>
            <w:rStyle w:val="aa"/>
            <w:lang w:val="ru-RU"/>
          </w:rPr>
          <w:t>Национальный</w:t>
        </w:r>
      </w:hyperlink>
      <w:r w:rsidR="00B121ED" w:rsidRPr="00282276">
        <w:rPr>
          <w:lang w:val="ru-RU"/>
        </w:rPr>
        <w:t xml:space="preserve"> </w:t>
      </w:r>
      <w:hyperlink r:id="rId9">
        <w:r w:rsidR="00B121ED" w:rsidRPr="00282276">
          <w:rPr>
            <w:rStyle w:val="aa"/>
            <w:lang w:val="ru-RU"/>
          </w:rPr>
          <w:t>Антитеррористический комитет (НАК) города Москвы</w:t>
        </w:r>
      </w:hyperlink>
      <w:r w:rsidR="00B121ED" w:rsidRPr="00282276">
        <w:rPr>
          <w:lang w:val="ru-RU"/>
        </w:rPr>
        <w:t xml:space="preserve"> </w:t>
      </w:r>
      <w:hyperlink r:id="rId10">
        <w:r w:rsidR="00B121ED">
          <w:rPr>
            <w:rStyle w:val="aa"/>
          </w:rPr>
          <w:t>http</w:t>
        </w:r>
        <w:r w:rsidR="00B121ED" w:rsidRPr="00282276">
          <w:rPr>
            <w:rStyle w:val="aa"/>
            <w:lang w:val="ru-RU"/>
          </w:rPr>
          <w:t>://</w:t>
        </w:r>
        <w:proofErr w:type="spellStart"/>
        <w:r w:rsidR="00B121ED">
          <w:rPr>
            <w:rStyle w:val="aa"/>
          </w:rPr>
          <w:t>nac</w:t>
        </w:r>
        <w:proofErr w:type="spellEnd"/>
        <w:r w:rsidR="00B121ED" w:rsidRPr="00282276">
          <w:rPr>
            <w:rStyle w:val="aa"/>
            <w:lang w:val="ru-RU"/>
          </w:rPr>
          <w:t>.</w:t>
        </w:r>
        <w:proofErr w:type="spellStart"/>
        <w:r w:rsidR="00B121ED">
          <w:rPr>
            <w:rStyle w:val="aa"/>
          </w:rPr>
          <w:t>gov</w:t>
        </w:r>
        <w:proofErr w:type="spellEnd"/>
        <w:r w:rsidR="00B121ED" w:rsidRPr="00282276">
          <w:rPr>
            <w:rStyle w:val="aa"/>
            <w:lang w:val="ru-RU"/>
          </w:rPr>
          <w:t>.</w:t>
        </w:r>
        <w:r w:rsidR="00B121ED">
          <w:rPr>
            <w:rStyle w:val="aa"/>
          </w:rPr>
          <w:t>ru</w:t>
        </w:r>
        <w:r w:rsidR="00B121ED" w:rsidRPr="00282276">
          <w:rPr>
            <w:rStyle w:val="aa"/>
            <w:lang w:val="ru-RU"/>
          </w:rPr>
          <w:t>/?</w:t>
        </w:r>
        <w:proofErr w:type="spellStart"/>
        <w:r w:rsidR="00B121ED">
          <w:rPr>
            <w:rStyle w:val="aa"/>
          </w:rPr>
          <w:t>adfox</w:t>
        </w:r>
        <w:proofErr w:type="spellEnd"/>
        <w:r w:rsidR="00B121ED" w:rsidRPr="00282276">
          <w:rPr>
            <w:rStyle w:val="aa"/>
            <w:lang w:val="ru-RU"/>
          </w:rPr>
          <w:t>&amp;</w:t>
        </w:r>
        <w:proofErr w:type="spellStart"/>
        <w:r w:rsidR="00B121ED">
          <w:rPr>
            <w:rStyle w:val="aa"/>
          </w:rPr>
          <w:t>utm</w:t>
        </w:r>
        <w:proofErr w:type="spellEnd"/>
        <w:r w:rsidR="00B121ED" w:rsidRPr="00282276">
          <w:rPr>
            <w:rStyle w:val="aa"/>
            <w:lang w:val="ru-RU"/>
          </w:rPr>
          <w:t>_</w:t>
        </w:r>
        <w:r w:rsidR="00B121ED">
          <w:rPr>
            <w:rStyle w:val="aa"/>
          </w:rPr>
          <w:t>place</w:t>
        </w:r>
        <w:r w:rsidR="00B121ED" w:rsidRPr="00282276">
          <w:rPr>
            <w:rStyle w:val="aa"/>
            <w:lang w:val="ru-RU"/>
          </w:rPr>
          <w:t>=889432&amp;</w:t>
        </w:r>
        <w:proofErr w:type="spellStart"/>
        <w:r w:rsidR="00B121ED">
          <w:rPr>
            <w:rStyle w:val="aa"/>
          </w:rPr>
          <w:t>utm</w:t>
        </w:r>
        <w:proofErr w:type="spellEnd"/>
        <w:r w:rsidR="00B121ED" w:rsidRPr="00282276">
          <w:rPr>
            <w:rStyle w:val="aa"/>
            <w:lang w:val="ru-RU"/>
          </w:rPr>
          <w:t>_</w:t>
        </w:r>
        <w:r w:rsidR="00B121ED">
          <w:rPr>
            <w:rStyle w:val="aa"/>
          </w:rPr>
          <w:t>ban</w:t>
        </w:r>
        <w:r w:rsidR="00B121ED" w:rsidRPr="00282276">
          <w:rPr>
            <w:rStyle w:val="aa"/>
            <w:lang w:val="ru-RU"/>
          </w:rPr>
          <w:t>=3131662&amp;</w:t>
        </w:r>
        <w:proofErr w:type="spellStart"/>
        <w:r w:rsidR="00B121ED">
          <w:rPr>
            <w:rStyle w:val="aa"/>
          </w:rPr>
          <w:t>ues</w:t>
        </w:r>
        <w:proofErr w:type="spellEnd"/>
        <w:r w:rsidR="00B121ED" w:rsidRPr="00282276">
          <w:rPr>
            <w:rStyle w:val="aa"/>
            <w:lang w:val="ru-RU"/>
          </w:rPr>
          <w:t>=1</w:t>
        </w:r>
      </w:hyperlink>
    </w:p>
    <w:p w:rsidR="00B05E9E" w:rsidRPr="00B121ED" w:rsidRDefault="00B05E9E" w:rsidP="00B05E9E">
      <w:pPr>
        <w:pStyle w:val="a3"/>
        <w:rPr>
          <w:lang w:val="ru-RU"/>
        </w:rPr>
      </w:pPr>
    </w:p>
    <w:bookmarkEnd w:id="0"/>
    <w:p w:rsidR="00AA518A" w:rsidRPr="00B121ED" w:rsidRDefault="00AA518A">
      <w:pPr>
        <w:pStyle w:val="a3"/>
        <w:rPr>
          <w:lang w:val="ru-RU"/>
        </w:rPr>
      </w:pPr>
    </w:p>
    <w:sectPr w:rsidR="00AA518A" w:rsidRPr="00B121ED" w:rsidSect="00AA518A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24" w:rsidRDefault="00682124" w:rsidP="00AA518A">
      <w:pPr>
        <w:spacing w:after="0"/>
      </w:pPr>
      <w:r>
        <w:separator/>
      </w:r>
    </w:p>
  </w:endnote>
  <w:endnote w:type="continuationSeparator" w:id="0">
    <w:p w:rsidR="00682124" w:rsidRDefault="00682124" w:rsidP="00AA51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24" w:rsidRDefault="00682124">
      <w:r>
        <w:separator/>
      </w:r>
    </w:p>
  </w:footnote>
  <w:footnote w:type="continuationSeparator" w:id="0">
    <w:p w:rsidR="00682124" w:rsidRDefault="00682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3146D69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18A"/>
    <w:rsid w:val="005E3D14"/>
    <w:rsid w:val="00682124"/>
    <w:rsid w:val="00AA518A"/>
    <w:rsid w:val="00B05E9E"/>
    <w:rsid w:val="00B121ED"/>
    <w:rsid w:val="00E8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AA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A518A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AA518A"/>
  </w:style>
  <w:style w:type="paragraph" w:customStyle="1" w:styleId="Compact">
    <w:name w:val="Compact"/>
    <w:basedOn w:val="a3"/>
    <w:qFormat/>
    <w:rsid w:val="00AA518A"/>
    <w:pPr>
      <w:spacing w:before="36" w:after="36"/>
    </w:pPr>
  </w:style>
  <w:style w:type="paragraph" w:styleId="a5">
    <w:name w:val="Title"/>
    <w:basedOn w:val="a"/>
    <w:next w:val="a3"/>
    <w:qFormat/>
    <w:rsid w:val="00AA518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AA518A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AA518A"/>
    <w:pPr>
      <w:keepNext/>
      <w:keepLines/>
      <w:jc w:val="center"/>
    </w:pPr>
  </w:style>
  <w:style w:type="paragraph" w:styleId="a7">
    <w:name w:val="Date"/>
    <w:next w:val="a3"/>
    <w:qFormat/>
    <w:rsid w:val="00AA518A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AA518A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AA518A"/>
  </w:style>
  <w:style w:type="paragraph" w:customStyle="1" w:styleId="Heading1">
    <w:name w:val="Heading 1"/>
    <w:basedOn w:val="a"/>
    <w:next w:val="a3"/>
    <w:uiPriority w:val="9"/>
    <w:qFormat/>
    <w:rsid w:val="00AA5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AA5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3">
    <w:name w:val="Heading 3"/>
    <w:basedOn w:val="a"/>
    <w:next w:val="a3"/>
    <w:uiPriority w:val="9"/>
    <w:unhideWhenUsed/>
    <w:qFormat/>
    <w:rsid w:val="00AA5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3"/>
    <w:uiPriority w:val="9"/>
    <w:unhideWhenUsed/>
    <w:qFormat/>
    <w:rsid w:val="00AA51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AA5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AA5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7">
    <w:name w:val="Heading 7"/>
    <w:basedOn w:val="a"/>
    <w:next w:val="a3"/>
    <w:uiPriority w:val="9"/>
    <w:unhideWhenUsed/>
    <w:qFormat/>
    <w:rsid w:val="00AA51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8">
    <w:name w:val="Heading 8"/>
    <w:basedOn w:val="a"/>
    <w:next w:val="a3"/>
    <w:uiPriority w:val="9"/>
    <w:unhideWhenUsed/>
    <w:qFormat/>
    <w:rsid w:val="00AA51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9">
    <w:name w:val="Heading 9"/>
    <w:basedOn w:val="a"/>
    <w:next w:val="a3"/>
    <w:uiPriority w:val="9"/>
    <w:unhideWhenUsed/>
    <w:qFormat/>
    <w:rsid w:val="00AA51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AA518A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AA518A"/>
  </w:style>
  <w:style w:type="table" w:customStyle="1" w:styleId="Table">
    <w:name w:val="Table"/>
    <w:semiHidden/>
    <w:unhideWhenUsed/>
    <w:qFormat/>
    <w:rsid w:val="00AA51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AA518A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AA518A"/>
  </w:style>
  <w:style w:type="paragraph" w:customStyle="1" w:styleId="Caption">
    <w:name w:val="Caption"/>
    <w:basedOn w:val="a"/>
    <w:link w:val="a4"/>
    <w:rsid w:val="00AA518A"/>
    <w:pPr>
      <w:spacing w:after="120"/>
    </w:pPr>
    <w:rPr>
      <w:i/>
    </w:rPr>
  </w:style>
  <w:style w:type="paragraph" w:customStyle="1" w:styleId="TableCaption">
    <w:name w:val="Table Caption"/>
    <w:basedOn w:val="Caption"/>
    <w:rsid w:val="00AA518A"/>
    <w:pPr>
      <w:keepNext/>
    </w:pPr>
  </w:style>
  <w:style w:type="paragraph" w:customStyle="1" w:styleId="ImageCaption">
    <w:name w:val="Image Caption"/>
    <w:basedOn w:val="Caption"/>
    <w:rsid w:val="00AA518A"/>
  </w:style>
  <w:style w:type="paragraph" w:customStyle="1" w:styleId="Figure">
    <w:name w:val="Figure"/>
    <w:basedOn w:val="a"/>
    <w:rsid w:val="00AA518A"/>
  </w:style>
  <w:style w:type="paragraph" w:customStyle="1" w:styleId="CaptionedFigure">
    <w:name w:val="Captioned Figure"/>
    <w:basedOn w:val="Figure"/>
    <w:rsid w:val="00AA518A"/>
    <w:pPr>
      <w:keepNext/>
    </w:pPr>
  </w:style>
  <w:style w:type="character" w:customStyle="1" w:styleId="a4">
    <w:name w:val="Основной текст Знак"/>
    <w:basedOn w:val="a0"/>
    <w:link w:val="Caption"/>
    <w:rsid w:val="00AA518A"/>
  </w:style>
  <w:style w:type="character" w:customStyle="1" w:styleId="VerbatimChar">
    <w:name w:val="Verbatim Char"/>
    <w:basedOn w:val="a4"/>
    <w:link w:val="SourceCode"/>
    <w:rsid w:val="00AA518A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AA518A"/>
  </w:style>
  <w:style w:type="character" w:customStyle="1" w:styleId="FootnoteReference">
    <w:name w:val="Footnote Reference"/>
    <w:basedOn w:val="a4"/>
    <w:rsid w:val="00AA518A"/>
    <w:rPr>
      <w:vertAlign w:val="superscript"/>
    </w:rPr>
  </w:style>
  <w:style w:type="character" w:styleId="aa">
    <w:name w:val="Hyperlink"/>
    <w:basedOn w:val="a4"/>
    <w:rsid w:val="00AA518A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AA518A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AA518A"/>
    <w:pPr>
      <w:wordWrap w:val="0"/>
    </w:pPr>
  </w:style>
  <w:style w:type="character" w:customStyle="1" w:styleId="KeywordTok">
    <w:name w:val="KeywordTok"/>
    <w:basedOn w:val="VerbatimChar"/>
    <w:rsid w:val="00AA518A"/>
    <w:rPr>
      <w:b/>
      <w:color w:val="007020"/>
    </w:rPr>
  </w:style>
  <w:style w:type="character" w:customStyle="1" w:styleId="DataTypeTok">
    <w:name w:val="DataTypeTok"/>
    <w:basedOn w:val="VerbatimChar"/>
    <w:rsid w:val="00AA518A"/>
    <w:rPr>
      <w:color w:val="902000"/>
    </w:rPr>
  </w:style>
  <w:style w:type="character" w:customStyle="1" w:styleId="DecValTok">
    <w:name w:val="DecValTok"/>
    <w:basedOn w:val="VerbatimChar"/>
    <w:rsid w:val="00AA518A"/>
    <w:rPr>
      <w:color w:val="40A070"/>
    </w:rPr>
  </w:style>
  <w:style w:type="character" w:customStyle="1" w:styleId="BaseNTok">
    <w:name w:val="BaseNTok"/>
    <w:basedOn w:val="VerbatimChar"/>
    <w:rsid w:val="00AA518A"/>
    <w:rPr>
      <w:color w:val="40A070"/>
    </w:rPr>
  </w:style>
  <w:style w:type="character" w:customStyle="1" w:styleId="FloatTok">
    <w:name w:val="FloatTok"/>
    <w:basedOn w:val="VerbatimChar"/>
    <w:rsid w:val="00AA518A"/>
    <w:rPr>
      <w:color w:val="40A070"/>
    </w:rPr>
  </w:style>
  <w:style w:type="character" w:customStyle="1" w:styleId="ConstantTok">
    <w:name w:val="ConstantTok"/>
    <w:basedOn w:val="VerbatimChar"/>
    <w:rsid w:val="00AA518A"/>
    <w:rPr>
      <w:color w:val="880000"/>
    </w:rPr>
  </w:style>
  <w:style w:type="character" w:customStyle="1" w:styleId="CharTok">
    <w:name w:val="CharTok"/>
    <w:basedOn w:val="VerbatimChar"/>
    <w:rsid w:val="00AA518A"/>
    <w:rPr>
      <w:color w:val="4070A0"/>
    </w:rPr>
  </w:style>
  <w:style w:type="character" w:customStyle="1" w:styleId="SpecialCharTok">
    <w:name w:val="SpecialCharTok"/>
    <w:basedOn w:val="VerbatimChar"/>
    <w:rsid w:val="00AA518A"/>
    <w:rPr>
      <w:color w:val="4070A0"/>
    </w:rPr>
  </w:style>
  <w:style w:type="character" w:customStyle="1" w:styleId="StringTok">
    <w:name w:val="StringTok"/>
    <w:basedOn w:val="VerbatimChar"/>
    <w:rsid w:val="00AA518A"/>
    <w:rPr>
      <w:color w:val="4070A0"/>
    </w:rPr>
  </w:style>
  <w:style w:type="character" w:customStyle="1" w:styleId="VerbatimStringTok">
    <w:name w:val="VerbatimStringTok"/>
    <w:basedOn w:val="VerbatimChar"/>
    <w:rsid w:val="00AA518A"/>
    <w:rPr>
      <w:color w:val="4070A0"/>
    </w:rPr>
  </w:style>
  <w:style w:type="character" w:customStyle="1" w:styleId="SpecialStringTok">
    <w:name w:val="SpecialStringTok"/>
    <w:basedOn w:val="VerbatimChar"/>
    <w:rsid w:val="00AA518A"/>
    <w:rPr>
      <w:color w:val="BB6688"/>
    </w:rPr>
  </w:style>
  <w:style w:type="character" w:customStyle="1" w:styleId="ImportTok">
    <w:name w:val="ImportTok"/>
    <w:basedOn w:val="VerbatimChar"/>
    <w:rsid w:val="00AA518A"/>
  </w:style>
  <w:style w:type="character" w:customStyle="1" w:styleId="CommentTok">
    <w:name w:val="CommentTok"/>
    <w:basedOn w:val="VerbatimChar"/>
    <w:rsid w:val="00AA518A"/>
    <w:rPr>
      <w:i/>
      <w:color w:val="60A0B0"/>
    </w:rPr>
  </w:style>
  <w:style w:type="character" w:customStyle="1" w:styleId="DocumentationTok">
    <w:name w:val="DocumentationTok"/>
    <w:basedOn w:val="VerbatimChar"/>
    <w:rsid w:val="00AA518A"/>
    <w:rPr>
      <w:i/>
      <w:color w:val="BA2121"/>
    </w:rPr>
  </w:style>
  <w:style w:type="character" w:customStyle="1" w:styleId="AnnotationTok">
    <w:name w:val="AnnotationTok"/>
    <w:basedOn w:val="VerbatimChar"/>
    <w:rsid w:val="00AA518A"/>
    <w:rPr>
      <w:b/>
      <w:i/>
      <w:color w:val="60A0B0"/>
    </w:rPr>
  </w:style>
  <w:style w:type="character" w:customStyle="1" w:styleId="CommentVarTok">
    <w:name w:val="CommentVarTok"/>
    <w:basedOn w:val="VerbatimChar"/>
    <w:rsid w:val="00AA518A"/>
    <w:rPr>
      <w:b/>
      <w:i/>
      <w:color w:val="60A0B0"/>
    </w:rPr>
  </w:style>
  <w:style w:type="character" w:customStyle="1" w:styleId="OtherTok">
    <w:name w:val="OtherTok"/>
    <w:basedOn w:val="VerbatimChar"/>
    <w:rsid w:val="00AA518A"/>
    <w:rPr>
      <w:color w:val="007020"/>
    </w:rPr>
  </w:style>
  <w:style w:type="character" w:customStyle="1" w:styleId="FunctionTok">
    <w:name w:val="FunctionTok"/>
    <w:basedOn w:val="VerbatimChar"/>
    <w:rsid w:val="00AA518A"/>
    <w:rPr>
      <w:color w:val="06287E"/>
    </w:rPr>
  </w:style>
  <w:style w:type="character" w:customStyle="1" w:styleId="VariableTok">
    <w:name w:val="VariableTok"/>
    <w:basedOn w:val="VerbatimChar"/>
    <w:rsid w:val="00AA518A"/>
    <w:rPr>
      <w:color w:val="19177C"/>
    </w:rPr>
  </w:style>
  <w:style w:type="character" w:customStyle="1" w:styleId="ControlFlowTok">
    <w:name w:val="ControlFlowTok"/>
    <w:basedOn w:val="VerbatimChar"/>
    <w:rsid w:val="00AA518A"/>
    <w:rPr>
      <w:b/>
      <w:color w:val="007020"/>
    </w:rPr>
  </w:style>
  <w:style w:type="character" w:customStyle="1" w:styleId="OperatorTok">
    <w:name w:val="OperatorTok"/>
    <w:basedOn w:val="VerbatimChar"/>
    <w:rsid w:val="00AA518A"/>
    <w:rPr>
      <w:color w:val="666666"/>
    </w:rPr>
  </w:style>
  <w:style w:type="character" w:customStyle="1" w:styleId="BuiltInTok">
    <w:name w:val="BuiltInTok"/>
    <w:basedOn w:val="VerbatimChar"/>
    <w:rsid w:val="00AA518A"/>
  </w:style>
  <w:style w:type="character" w:customStyle="1" w:styleId="ExtensionTok">
    <w:name w:val="ExtensionTok"/>
    <w:basedOn w:val="VerbatimChar"/>
    <w:rsid w:val="00AA518A"/>
  </w:style>
  <w:style w:type="character" w:customStyle="1" w:styleId="PreprocessorTok">
    <w:name w:val="PreprocessorTok"/>
    <w:basedOn w:val="VerbatimChar"/>
    <w:rsid w:val="00AA518A"/>
    <w:rPr>
      <w:color w:val="BC7A00"/>
    </w:rPr>
  </w:style>
  <w:style w:type="character" w:customStyle="1" w:styleId="AttributeTok">
    <w:name w:val="AttributeTok"/>
    <w:basedOn w:val="VerbatimChar"/>
    <w:rsid w:val="00AA518A"/>
    <w:rPr>
      <w:color w:val="7D9029"/>
    </w:rPr>
  </w:style>
  <w:style w:type="character" w:customStyle="1" w:styleId="RegionMarkerTok">
    <w:name w:val="RegionMarkerTok"/>
    <w:basedOn w:val="VerbatimChar"/>
    <w:rsid w:val="00AA518A"/>
  </w:style>
  <w:style w:type="character" w:customStyle="1" w:styleId="InformationTok">
    <w:name w:val="InformationTok"/>
    <w:basedOn w:val="VerbatimChar"/>
    <w:rsid w:val="00AA518A"/>
    <w:rPr>
      <w:b/>
      <w:i/>
      <w:color w:val="60A0B0"/>
    </w:rPr>
  </w:style>
  <w:style w:type="character" w:customStyle="1" w:styleId="WarningTok">
    <w:name w:val="WarningTok"/>
    <w:basedOn w:val="VerbatimChar"/>
    <w:rsid w:val="00AA518A"/>
    <w:rPr>
      <w:b/>
      <w:i/>
      <w:color w:val="60A0B0"/>
    </w:rPr>
  </w:style>
  <w:style w:type="character" w:customStyle="1" w:styleId="AlertTok">
    <w:name w:val="AlertTok"/>
    <w:basedOn w:val="VerbatimChar"/>
    <w:rsid w:val="00AA518A"/>
    <w:rPr>
      <w:b/>
      <w:color w:val="FF0000"/>
    </w:rPr>
  </w:style>
  <w:style w:type="character" w:customStyle="1" w:styleId="ErrorTok">
    <w:name w:val="ErrorTok"/>
    <w:basedOn w:val="VerbatimChar"/>
    <w:rsid w:val="00AA518A"/>
    <w:rPr>
      <w:b/>
      <w:color w:val="FF0000"/>
    </w:rPr>
  </w:style>
  <w:style w:type="character" w:customStyle="1" w:styleId="NormalTok">
    <w:name w:val="NormalTok"/>
    <w:basedOn w:val="VerbatimChar"/>
    <w:rsid w:val="00AA5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?adfox&amp;utm_place=889432&amp;utm_ban=3131662&amp;ue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.gov.ru/?adfox&amp;utm_place=889432&amp;utm_ban=3131662&amp;ues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ac.gov.ru/?adfox&amp;utm_place=889432&amp;utm_ban=3131662&amp;ue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.gov.ru/?adfox&amp;utm_place=889432&amp;utm_ban=3131662&amp;ue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983</Words>
  <Characters>5604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Калиев</cp:lastModifiedBy>
  <cp:revision>3</cp:revision>
  <dcterms:created xsi:type="dcterms:W3CDTF">2023-01-17T12:08:00Z</dcterms:created>
  <dcterms:modified xsi:type="dcterms:W3CDTF">2023-01-17T12:39:00Z</dcterms:modified>
</cp:coreProperties>
</file>