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r w:rsidRPr="00995F12">
        <w:rPr>
          <w:rFonts w:ascii="Times New Roman" w:hAnsi="Times New Roman" w:cs="Times New Roman"/>
          <w:noProof/>
          <w:sz w:val="24"/>
          <w:szCs w:val="24"/>
        </w:rPr>
        <w:drawing>
          <wp:inline distT="0" distB="0" distL="0" distR="0">
            <wp:extent cx="5780405" cy="906145"/>
            <wp:effectExtent l="0" t="0" r="0" b="8255"/>
            <wp:docPr id="2" name="Рисунок 2"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 Хабиров\Pictures\logo-bi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0405" cy="906145"/>
                    </a:xfrm>
                    <a:prstGeom prst="rect">
                      <a:avLst/>
                    </a:prstGeom>
                    <a:noFill/>
                    <a:ln>
                      <a:noFill/>
                    </a:ln>
                  </pic:spPr>
                </pic:pic>
              </a:graphicData>
            </a:graphic>
          </wp:inline>
        </w:drawing>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 xml:space="preserve">«Об утверждении санитарно-эпидемиологических правил и норм </w:t>
      </w:r>
      <w:bookmarkStart w:id="0" w:name="_GoBack"/>
      <w:r w:rsidRPr="00995F12">
        <w:rPr>
          <w:rFonts w:ascii="Arial" w:hAnsi="Arial" w:cs="Arial"/>
          <w:sz w:val="48"/>
          <w:szCs w:val="48"/>
        </w:rPr>
        <w:t>СанПиН 2.3/2.4.3590-20</w:t>
      </w:r>
      <w:bookmarkEnd w:id="0"/>
      <w:r w:rsidRPr="00995F12">
        <w:rPr>
          <w:rFonts w:ascii="Arial" w:hAnsi="Arial" w:cs="Arial"/>
          <w:sz w:val="48"/>
          <w:szCs w:val="48"/>
        </w:rPr>
        <w:t xml:space="preserve">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B660F" w:rsidRPr="00995F12" w:rsidRDefault="003B660F" w:rsidP="003B660F">
      <w:pPr>
        <w:pStyle w:val="ConsPlusNormal"/>
        <w:spacing w:before="240"/>
        <w:ind w:firstLine="540"/>
        <w:jc w:val="both"/>
      </w:pPr>
      <w:r w:rsidRPr="00995F12">
        <w:lastRenderedPageBreak/>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lastRenderedPageBreak/>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6C299D" w:rsidP="003B660F">
      <w:pPr>
        <w:pStyle w:val="ConsPlusNormal"/>
        <w:jc w:val="both"/>
      </w:pPr>
      <w:r>
        <w:t xml:space="preserve"> </w:t>
      </w:r>
    </w:p>
    <w:p w:rsidR="003B660F" w:rsidRDefault="003B660F" w:rsidP="003B660F">
      <w:pPr>
        <w:pStyle w:val="ConsPlusNormal"/>
        <w:jc w:val="both"/>
        <w:sectPr w:rsidR="003B660F">
          <w:headerReference w:type="default" r:id="rId7"/>
          <w:footerReference w:type="default" r:id="rId8"/>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3B660F" w:rsidRPr="00995F12" w:rsidTr="009B1B57">
        <w:trPr>
          <w:jc w:val="center"/>
        </w:trPr>
        <w:tc>
          <w:tcPr>
            <w:tcW w:w="10147" w:type="dxa"/>
            <w:tcBorders>
              <w:left w:val="single" w:sz="24" w:space="0" w:color="CED3F1"/>
              <w:right w:val="single" w:sz="24" w:space="0" w:color="F4F3F8"/>
            </w:tcBorders>
            <w:shd w:val="clear" w:color="auto" w:fill="auto"/>
          </w:tcPr>
          <w:p w:rsidR="003B660F" w:rsidRPr="00995F12" w:rsidRDefault="003B660F" w:rsidP="009B1B57">
            <w:pPr>
              <w:pStyle w:val="ConsPlusNormal"/>
              <w:jc w:val="both"/>
            </w:pPr>
            <w:r w:rsidRPr="00995F12">
              <w:t>Примечание:</w:t>
            </w:r>
          </w:p>
          <w:p w:rsidR="003B660F" w:rsidRPr="00995F12" w:rsidRDefault="003B660F" w:rsidP="009B1B57">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2" w:name="Par84"/>
      <w:bookmarkEnd w:id="2"/>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6C299D" w:rsidRDefault="006C299D" w:rsidP="003B660F">
      <w:pPr>
        <w:pStyle w:val="ConsPlusTitle"/>
        <w:jc w:val="center"/>
        <w:outlineLvl w:val="1"/>
      </w:pPr>
    </w:p>
    <w:p w:rsidR="006C299D" w:rsidRDefault="006C299D" w:rsidP="003B660F">
      <w:pPr>
        <w:pStyle w:val="ConsPlusTitle"/>
        <w:jc w:val="center"/>
        <w:outlineLvl w:val="1"/>
      </w:pPr>
    </w:p>
    <w:p w:rsidR="006C299D" w:rsidRDefault="006C299D" w:rsidP="003B660F">
      <w:pPr>
        <w:pStyle w:val="ConsPlusTitle"/>
        <w:jc w:val="center"/>
        <w:outlineLvl w:val="1"/>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r w:rsidRPr="00995F12">
        <w:t>к предприятиям общественного питания, направленные</w:t>
      </w:r>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lastRenderedPageBreak/>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B660F" w:rsidRPr="00995F12" w:rsidRDefault="003B660F" w:rsidP="003B660F">
      <w:pPr>
        <w:pStyle w:val="ConsPlusNormal"/>
        <w:spacing w:before="240"/>
        <w:ind w:firstLine="540"/>
        <w:jc w:val="both"/>
      </w:pPr>
      <w:r w:rsidRPr="00995F12">
        <w:t xml:space="preserve">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w:t>
      </w:r>
      <w:r w:rsidRPr="00995F12">
        <w:lastRenderedPageBreak/>
        <w:t>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w:t>
      </w:r>
      <w:r w:rsidRPr="00995F12">
        <w:lastRenderedPageBreak/>
        <w:t>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 xml:space="preserve">2.20. Запрещается ремонт производственных помещений одновременно с изготовлением </w:t>
      </w:r>
      <w:r w:rsidRPr="00995F12">
        <w:lastRenderedPageBreak/>
        <w:t>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 xml:space="preserve">оставлять в индивидуальных шкафах или специально отведенных местах одежду второго и </w:t>
      </w:r>
      <w:r w:rsidRPr="00995F12">
        <w:lastRenderedPageBreak/>
        <w:t>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 xml:space="preserve">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w:t>
      </w:r>
      <w:r w:rsidRPr="00995F12">
        <w:lastRenderedPageBreak/>
        <w:t>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lastRenderedPageBreak/>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lastRenderedPageBreak/>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r w:rsidRPr="00995F12">
        <w:t>кейтерингового обслуживания по организации общественного</w:t>
      </w:r>
    </w:p>
    <w:p w:rsidR="003B660F" w:rsidRPr="00995F12" w:rsidRDefault="003B660F" w:rsidP="003B660F">
      <w:pPr>
        <w:pStyle w:val="ConsPlusTitle"/>
        <w:jc w:val="center"/>
      </w:pPr>
      <w:r w:rsidRPr="00995F12">
        <w:t>питания (кейтеринг)</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6.1. При осуществлении кейтеринга:</w:t>
      </w:r>
    </w:p>
    <w:p w:rsidR="003B660F" w:rsidRPr="00995F12" w:rsidRDefault="003B660F" w:rsidP="003B660F">
      <w:pPr>
        <w:pStyle w:val="ConsPlusNormal"/>
        <w:spacing w:before="240"/>
        <w:ind w:firstLine="540"/>
        <w:jc w:val="both"/>
      </w:pPr>
      <w:r w:rsidRPr="00995F12">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3" w:name="Par264"/>
      <w:bookmarkEnd w:id="3"/>
      <w:r w:rsidRPr="00995F12">
        <w:lastRenderedPageBreak/>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4" w:name="Par269"/>
      <w:bookmarkEnd w:id="4"/>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lastRenderedPageBreak/>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 xml:space="preserve">7.2.1. При организации питания авиапассажиров и членов экипажей воздушных судов </w:t>
      </w:r>
      <w:r w:rsidRPr="00995F12">
        <w:lastRenderedPageBreak/>
        <w:t>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термоохладителями с соблюдением установленных условий хранения.</w:t>
      </w:r>
    </w:p>
    <w:p w:rsidR="003B660F" w:rsidRDefault="003B660F" w:rsidP="003B660F">
      <w:pPr>
        <w:pStyle w:val="ConsPlusNormal"/>
        <w:spacing w:before="240"/>
        <w:ind w:firstLine="540"/>
        <w:jc w:val="both"/>
      </w:pPr>
      <w:r w:rsidRPr="00995F12">
        <w:lastRenderedPageBreak/>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Default="009B1B57" w:rsidP="003B660F">
      <w:pPr>
        <w:pStyle w:val="ConsPlusNormal"/>
        <w:spacing w:before="240"/>
        <w:ind w:firstLine="540"/>
        <w:jc w:val="both"/>
      </w:pPr>
    </w:p>
    <w:p w:rsidR="009B1B57" w:rsidRPr="00995F12" w:rsidRDefault="009B1B57" w:rsidP="003B660F">
      <w:pPr>
        <w:pStyle w:val="ConsPlusNormal"/>
        <w:spacing w:before="240"/>
        <w:ind w:firstLine="540"/>
        <w:jc w:val="both"/>
      </w:pPr>
    </w:p>
    <w:p w:rsidR="003B660F" w:rsidRPr="00995F12" w:rsidRDefault="003B660F" w:rsidP="003B660F">
      <w:pPr>
        <w:pStyle w:val="ConsPlusNormal"/>
        <w:jc w:val="both"/>
      </w:pPr>
    </w:p>
    <w:p w:rsidR="006C299D" w:rsidRDefault="006C299D" w:rsidP="003B660F">
      <w:pPr>
        <w:pStyle w:val="ConsPlusTitle"/>
        <w:jc w:val="center"/>
        <w:outlineLvl w:val="1"/>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w:t>
      </w:r>
      <w:r w:rsidRPr="00995F12">
        <w:lastRenderedPageBreak/>
        <w:t>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w:t>
      </w:r>
      <w:r w:rsidRPr="00995F12">
        <w:lastRenderedPageBreak/>
        <w:t>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 xml:space="preserve">8.2.2. Выдача детям рационов питания должна осуществляться в соответствии с </w:t>
      </w:r>
      <w:r w:rsidRPr="00995F12">
        <w:lastRenderedPageBreak/>
        <w:t>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w:t>
      </w:r>
      <w:r w:rsidRPr="00995F12">
        <w:lastRenderedPageBreak/>
        <w:t>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8.4.5. Допускается организация питьевого режима с использованием кипяченой питьевой 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lastRenderedPageBreak/>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8.6.3. Помещение для приготовления пищи оборудуется необходимым технологическим, 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 xml:space="preserve">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w:t>
      </w:r>
      <w:r w:rsidRPr="00995F12">
        <w:lastRenderedPageBreak/>
        <w:t>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 xml:space="preserve">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w:t>
      </w:r>
      <w:r w:rsidRPr="00995F12">
        <w:lastRenderedPageBreak/>
        <w:t>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6C299D" w:rsidP="003B660F">
      <w:pPr>
        <w:pStyle w:val="ConsPlusNormal"/>
        <w:jc w:val="both"/>
      </w:pPr>
      <w:r>
        <w:t xml:space="preserve"> </w:t>
      </w:r>
    </w:p>
    <w:p w:rsidR="003B660F" w:rsidRDefault="003B660F" w:rsidP="003B660F">
      <w:pPr>
        <w:pStyle w:val="ConsPlusNormal"/>
        <w:jc w:val="both"/>
        <w:sectPr w:rsidR="003B660F" w:rsidSect="006C299D">
          <w:pgSz w:w="11906" w:h="16838"/>
          <w:pgMar w:top="426"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5" w:name="Par402"/>
      <w:bookmarkEnd w:id="5"/>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B660F" w:rsidRPr="00995F12" w:rsidTr="009B1B57">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Подпись медицинского работника (ответственного лица)</w:t>
            </w:r>
          </w:p>
        </w:tc>
      </w:tr>
      <w:tr w:rsidR="003B660F" w:rsidRPr="00995F12" w:rsidTr="009B1B57">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54"/>
      <w:bookmarkEnd w:id="6"/>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B660F" w:rsidRPr="00995F12" w:rsidTr="009B1B57">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Температура в градусах Цельсия</w:t>
            </w:r>
          </w:p>
        </w:tc>
      </w:tr>
      <w:tr w:rsidR="003B660F" w:rsidRPr="00995F12" w:rsidTr="009B1B57">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месяц/дни: (ежедневно)</w:t>
            </w:r>
          </w:p>
        </w:tc>
      </w:tr>
      <w:tr w:rsidR="003B660F" w:rsidRPr="00995F12" w:rsidTr="009B1B57">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r>
      <w:tr w:rsidR="003B660F" w:rsidRPr="00995F12" w:rsidTr="009B1B57">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85"/>
      <w:bookmarkEnd w:id="7"/>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B660F" w:rsidRPr="00995F12" w:rsidTr="009B1B57">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Месяц/дни: (температура в градусах Цельсия и влажность в процентах)</w:t>
            </w:r>
          </w:p>
        </w:tc>
      </w:tr>
      <w:tr w:rsidR="003B660F" w:rsidRPr="00995F12" w:rsidTr="009B1B57">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w:t>
            </w:r>
          </w:p>
        </w:tc>
      </w:tr>
      <w:tr w:rsidR="003B660F" w:rsidRPr="00995F12" w:rsidTr="009B1B57">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514"/>
      <w:bookmarkEnd w:id="8"/>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B660F" w:rsidRPr="00995F12" w:rsidTr="009B1B57">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Примечание</w:t>
            </w:r>
          </w:p>
        </w:tc>
      </w:tr>
      <w:tr w:rsidR="003B660F" w:rsidRPr="00995F12" w:rsidTr="009B1B57">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9" w:name="Par542"/>
      <w:bookmarkEnd w:id="9"/>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tblPr>
      <w:tblGrid>
        <w:gridCol w:w="852"/>
        <w:gridCol w:w="680"/>
        <w:gridCol w:w="510"/>
        <w:gridCol w:w="680"/>
        <w:gridCol w:w="624"/>
        <w:gridCol w:w="510"/>
        <w:gridCol w:w="794"/>
        <w:gridCol w:w="2013"/>
        <w:gridCol w:w="1191"/>
        <w:gridCol w:w="794"/>
        <w:gridCol w:w="794"/>
        <w:gridCol w:w="737"/>
        <w:gridCol w:w="624"/>
      </w:tblGrid>
      <w:tr w:rsidR="003B660F" w:rsidRPr="00995F12" w:rsidTr="009B1B57">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 xml:space="preserve">количество поступившего продукта (в кг, </w:t>
            </w:r>
            <w:r w:rsidRPr="00995F12">
              <w:lastRenderedPageBreak/>
              <w:t>литрах, шт)</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Примечание</w:t>
            </w:r>
          </w:p>
        </w:tc>
      </w:tr>
      <w:tr w:rsidR="003B660F" w:rsidRPr="00995F12" w:rsidTr="009B1B57">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0" w:name="Par578"/>
      <w:bookmarkEnd w:id="10"/>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"самоквас".</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лет (в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34"/>
      </w:tblGrid>
      <w:tr w:rsidR="003B660F" w:rsidRPr="00995F12" w:rsidTr="009B1B57">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Итого за сутки</w:t>
            </w:r>
          </w:p>
        </w:tc>
      </w:tr>
      <w:tr w:rsidR="003B660F" w:rsidRPr="00995F12" w:rsidTr="009B1B57">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3 - 7 лет</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450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55</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24</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37</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140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220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43</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29</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21</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9B1B57">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0,6</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9B1B57">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0,6</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9B1B57">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9B1B57">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0,5</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9B1B57">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5953"/>
        <w:gridCol w:w="1134"/>
        <w:gridCol w:w="1191"/>
      </w:tblGrid>
      <w:tr w:rsidR="003B660F" w:rsidRPr="00995F12" w:rsidTr="009B1B57">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Итого за сутки</w:t>
            </w:r>
          </w:p>
        </w:tc>
      </w:tr>
      <w:tr w:rsidR="003B660F" w:rsidRPr="00995F12" w:rsidTr="009B1B57">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 лет и старше</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187</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320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185</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78</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53</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77</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0,3</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r>
      <w:tr w:rsidR="003B660F" w:rsidRPr="00995F12" w:rsidTr="009B1B57">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906"/>
      <w:bookmarkEnd w:id="11"/>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B660F" w:rsidRPr="00995F12" w:rsidTr="009B1B57">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Возраст</w:t>
            </w:r>
          </w:p>
        </w:tc>
      </w:tr>
      <w:tr w:rsidR="003B660F" w:rsidRPr="00995F12" w:rsidTr="009B1B57">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 лет и старше</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42</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75</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475</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51</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19</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0,6</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w:t>
            </w:r>
          </w:p>
        </w:tc>
      </w:tr>
      <w:tr w:rsidR="003B660F" w:rsidRPr="00995F12" w:rsidTr="009B1B57">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1107"/>
      <w:bookmarkEnd w:id="12"/>
      <w:r w:rsidRPr="00995F12">
        <w:t>Примерная схема питания детей первого года жизни</w:t>
      </w:r>
    </w:p>
    <w:p w:rsidR="003B660F" w:rsidRPr="00995F12" w:rsidRDefault="003B660F" w:rsidP="003B660F">
      <w:pPr>
        <w:pStyle w:val="ConsPlusTitle"/>
        <w:jc w:val="center"/>
      </w:pPr>
      <w:r w:rsidRPr="00995F12">
        <w:t>(в нетто г,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B660F" w:rsidRPr="00995F12" w:rsidTr="009B1B57">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Возраст (месяцы жизни)</w:t>
            </w:r>
          </w:p>
        </w:tc>
      </w:tr>
      <w:tr w:rsidR="003B660F" w:rsidRPr="00995F12" w:rsidTr="009B1B57">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9 - 12</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200 - 400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90 - 100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90 - 100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0,50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60 - 70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30 - 60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 &lt;**&gt;</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10 - 15</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w:t>
            </w:r>
          </w:p>
        </w:tc>
      </w:tr>
      <w:tr w:rsidR="003B660F" w:rsidRPr="00995F12" w:rsidTr="009B1B57">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w:t>
            </w:r>
          </w:p>
        </w:tc>
      </w:tr>
      <w:tr w:rsidR="003B660F" w:rsidRPr="00995F12" w:rsidTr="009B1B57">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ind w:firstLine="283"/>
              <w:jc w:val="both"/>
            </w:pPr>
            <w:r w:rsidRPr="00995F12">
              <w:t>--------------------------------</w:t>
            </w:r>
          </w:p>
          <w:p w:rsidR="003B660F" w:rsidRPr="00995F12" w:rsidRDefault="003B660F" w:rsidP="009B1B57">
            <w:pPr>
              <w:pStyle w:val="ConsPlusNormal"/>
              <w:ind w:firstLine="283"/>
              <w:jc w:val="both"/>
            </w:pPr>
            <w:r w:rsidRPr="00995F12">
              <w:t>&lt;*&gt; Для приготовления каш.</w:t>
            </w:r>
          </w:p>
          <w:p w:rsidR="003B660F" w:rsidRPr="00995F12" w:rsidRDefault="003B660F" w:rsidP="009B1B57">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(в нетто г,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45"/>
        <w:gridCol w:w="1128"/>
        <w:gridCol w:w="1077"/>
      </w:tblGrid>
      <w:tr w:rsidR="003B660F" w:rsidRPr="00995F12" w:rsidTr="009B1B57">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Возраст</w:t>
            </w:r>
          </w:p>
        </w:tc>
      </w:tr>
      <w:tr w:rsidR="003B660F" w:rsidRPr="00995F12" w:rsidTr="009B1B57">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9 - 11 класс</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45</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350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450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60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75</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55</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w:t>
            </w:r>
          </w:p>
        </w:tc>
      </w:tr>
      <w:tr w:rsidR="003B660F" w:rsidRPr="00995F12" w:rsidTr="009B1B57">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6C299D" w:rsidRDefault="006C299D" w:rsidP="003B660F">
      <w:pPr>
        <w:pStyle w:val="ConsPlusNormal"/>
        <w:jc w:val="right"/>
        <w:outlineLvl w:val="1"/>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3" w:name="Par1356"/>
      <w:bookmarkEnd w:id="13"/>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B660F" w:rsidRPr="00995F12" w:rsidTr="009B1B57">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N рецептуры</w:t>
            </w:r>
          </w:p>
        </w:tc>
      </w:tr>
      <w:tr w:rsidR="003B660F" w:rsidRPr="00995F12" w:rsidTr="009B1B57">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Неделя 1</w:t>
            </w:r>
          </w:p>
          <w:p w:rsidR="003B660F" w:rsidRPr="00995F12" w:rsidRDefault="003B660F" w:rsidP="009B1B57">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 xml:space="preserve">итого за </w:t>
            </w:r>
            <w:r w:rsidRPr="00995F12">
              <w:lastRenderedPageBreak/>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lastRenderedPageBreak/>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070"/>
        <w:gridCol w:w="1247"/>
        <w:gridCol w:w="1123"/>
        <w:gridCol w:w="1267"/>
        <w:gridCol w:w="1304"/>
      </w:tblGrid>
      <w:tr w:rsidR="003B660F" w:rsidRPr="00995F12" w:rsidTr="009B1B57">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Масса порций</w:t>
            </w:r>
          </w:p>
        </w:tc>
      </w:tr>
      <w:tr w:rsidR="003B660F" w:rsidRPr="00995F12" w:rsidTr="009B1B57">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 лет и старше</w:t>
            </w:r>
          </w:p>
        </w:tc>
      </w:tr>
      <w:tr w:rsidR="003B660F" w:rsidRPr="00995F12" w:rsidTr="009B1B57">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200 - 250</w:t>
            </w:r>
          </w:p>
        </w:tc>
      </w:tr>
      <w:tr w:rsidR="003B660F" w:rsidRPr="00995F12" w:rsidTr="009B1B57">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 xml:space="preserve">Закуска (холодное блюдо) (салат, </w:t>
            </w:r>
            <w:r w:rsidRPr="00995F12">
              <w:lastRenderedPageBreak/>
              <w:t>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lastRenderedPageBreak/>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100 - 150</w:t>
            </w:r>
          </w:p>
        </w:tc>
      </w:tr>
      <w:tr w:rsidR="003B660F" w:rsidRPr="00995F12" w:rsidTr="009B1B57">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lastRenderedPageBreak/>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250 - 300</w:t>
            </w:r>
          </w:p>
        </w:tc>
      </w:tr>
      <w:tr w:rsidR="003B660F" w:rsidRPr="00995F12" w:rsidTr="009B1B57">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100 - 120</w:t>
            </w:r>
          </w:p>
        </w:tc>
      </w:tr>
      <w:tr w:rsidR="003B660F" w:rsidRPr="00995F12" w:rsidTr="009B1B57">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180 - 230</w:t>
            </w:r>
          </w:p>
        </w:tc>
      </w:tr>
      <w:tr w:rsidR="003B660F" w:rsidRPr="00995F12" w:rsidTr="009B1B57">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180 - 200</w:t>
            </w:r>
          </w:p>
        </w:tc>
      </w:tr>
      <w:tr w:rsidR="003B660F" w:rsidRPr="00995F12" w:rsidTr="009B1B57">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r w:rsidRPr="00995F12">
        <w:t>организациях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78"/>
        <w:gridCol w:w="1304"/>
        <w:gridCol w:w="1435"/>
      </w:tblGrid>
      <w:tr w:rsidR="003B660F" w:rsidRPr="00995F12" w:rsidTr="009B1B57">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Масса порций</w:t>
            </w:r>
          </w:p>
        </w:tc>
      </w:tr>
      <w:tr w:rsidR="003B660F" w:rsidRPr="00995F12" w:rsidTr="009B1B57">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9 - 11 класс</w:t>
            </w:r>
          </w:p>
        </w:tc>
      </w:tr>
      <w:tr w:rsidR="003B660F" w:rsidRPr="00995F12" w:rsidTr="009B1B57">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250 - 280</w:t>
            </w:r>
          </w:p>
        </w:tc>
      </w:tr>
      <w:tr w:rsidR="003B660F" w:rsidRPr="00995F12" w:rsidTr="009B1B57">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100 - 150</w:t>
            </w:r>
          </w:p>
        </w:tc>
      </w:tr>
      <w:tr w:rsidR="003B660F" w:rsidRPr="00995F12" w:rsidTr="009B1B57">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250 - 300</w:t>
            </w:r>
          </w:p>
        </w:tc>
      </w:tr>
      <w:tr w:rsidR="003B660F" w:rsidRPr="00995F12" w:rsidTr="009B1B57">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120 - 150</w:t>
            </w:r>
          </w:p>
        </w:tc>
      </w:tr>
      <w:tr w:rsidR="003B660F" w:rsidRPr="00995F12" w:rsidTr="009B1B57">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200 - 250</w:t>
            </w:r>
          </w:p>
        </w:tc>
      </w:tr>
      <w:tr w:rsidR="003B660F" w:rsidRPr="00995F12" w:rsidTr="009B1B57">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180 - 200</w:t>
            </w:r>
          </w:p>
        </w:tc>
      </w:tr>
      <w:tr w:rsidR="003B660F" w:rsidRPr="00995F12" w:rsidTr="009B1B57">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877"/>
        <w:gridCol w:w="1701"/>
        <w:gridCol w:w="1757"/>
        <w:gridCol w:w="1819"/>
        <w:gridCol w:w="1853"/>
      </w:tblGrid>
      <w:tr w:rsidR="003B660F" w:rsidRPr="00995F12" w:rsidTr="009B1B57">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lastRenderedPageBreak/>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 лет и старше</w:t>
            </w:r>
          </w:p>
        </w:tc>
      </w:tr>
      <w:tr w:rsidR="003B660F" w:rsidRPr="00995F12" w:rsidTr="009B1B57">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550</w:t>
            </w:r>
          </w:p>
        </w:tc>
      </w:tr>
      <w:tr w:rsidR="003B660F" w:rsidRPr="00995F12" w:rsidTr="009B1B57">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r>
      <w:tr w:rsidR="003B660F" w:rsidRPr="00995F12" w:rsidTr="009B1B57">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800</w:t>
            </w:r>
          </w:p>
        </w:tc>
      </w:tr>
      <w:tr w:rsidR="003B660F" w:rsidRPr="00995F12" w:rsidTr="009B1B57">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350</w:t>
            </w:r>
          </w:p>
        </w:tc>
      </w:tr>
      <w:tr w:rsidR="003B660F" w:rsidRPr="00995F12" w:rsidTr="009B1B57">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600</w:t>
            </w:r>
          </w:p>
        </w:tc>
      </w:tr>
      <w:tr w:rsidR="003B660F" w:rsidRPr="00995F12" w:rsidTr="009B1B57">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662"/>
        <w:gridCol w:w="1152"/>
        <w:gridCol w:w="1118"/>
        <w:gridCol w:w="1191"/>
        <w:gridCol w:w="1871"/>
      </w:tblGrid>
      <w:tr w:rsidR="003B660F" w:rsidRPr="00995F12" w:rsidTr="009B1B57">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Потребность в пищевых веществах</w:t>
            </w:r>
          </w:p>
        </w:tc>
      </w:tr>
      <w:tr w:rsidR="003B660F" w:rsidRPr="00995F12" w:rsidTr="009B1B57">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 лет и старше</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90</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92</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383</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2720</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70</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1,4</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1,6</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900</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1200</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1200</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300</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lastRenderedPageBreak/>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1200</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0,1</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0,05</w:t>
            </w:r>
          </w:p>
        </w:tc>
      </w:tr>
      <w:tr w:rsidR="003B660F" w:rsidRPr="00995F12" w:rsidTr="009B1B57">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для обучающихся в образовательных организациях кадетского</w:t>
      </w:r>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392"/>
        <w:gridCol w:w="2381"/>
        <w:gridCol w:w="1757"/>
        <w:gridCol w:w="1701"/>
        <w:gridCol w:w="1757"/>
      </w:tblGrid>
      <w:tr w:rsidR="003B660F" w:rsidRPr="00995F12" w:rsidTr="009B1B57">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Углеводы (г/сут)</w:t>
            </w:r>
          </w:p>
        </w:tc>
      </w:tr>
      <w:tr w:rsidR="003B660F" w:rsidRPr="00995F12" w:rsidTr="009B1B57">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550 - 580</w:t>
            </w:r>
          </w:p>
        </w:tc>
      </w:tr>
      <w:tr w:rsidR="003B660F" w:rsidRPr="00995F12" w:rsidTr="009B1B57">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4" w:name="Par1859"/>
      <w:bookmarkEnd w:id="14"/>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970"/>
        <w:gridCol w:w="1843"/>
        <w:gridCol w:w="3231"/>
      </w:tblGrid>
      <w:tr w:rsidR="003B660F" w:rsidRPr="00995F12" w:rsidTr="009B1B57">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Доля суточной потребности в пищевых веществах и энергии</w:t>
            </w:r>
          </w:p>
        </w:tc>
      </w:tr>
      <w:tr w:rsidR="003B660F" w:rsidRPr="00995F12" w:rsidTr="009B1B57">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25%</w:t>
            </w:r>
          </w:p>
        </w:tc>
      </w:tr>
      <w:tr w:rsidR="003B660F" w:rsidRPr="00995F12" w:rsidTr="009B1B57">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20 - 25%</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30 - 35%</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 - 15%</w:t>
            </w:r>
          </w:p>
        </w:tc>
      </w:tr>
      <w:tr w:rsidR="003B660F" w:rsidRPr="00995F12" w:rsidTr="009B1B57">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 xml:space="preserve">Общеобразовательные организации </w:t>
            </w:r>
            <w:r w:rsidRPr="00995F12">
              <w:lastRenderedPageBreak/>
              <w:t>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lastRenderedPageBreak/>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30 - 35%</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10 - 15%</w:t>
            </w:r>
          </w:p>
        </w:tc>
      </w:tr>
      <w:tr w:rsidR="003B660F" w:rsidRPr="00995F12" w:rsidTr="009B1B57">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lastRenderedPageBreak/>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35%</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20%</w:t>
            </w:r>
          </w:p>
        </w:tc>
      </w:tr>
      <w:tr w:rsidR="003B660F" w:rsidRPr="00995F12" w:rsidTr="009B1B57">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35"/>
        <w:gridCol w:w="2532"/>
        <w:gridCol w:w="2532"/>
        <w:gridCol w:w="2532"/>
      </w:tblGrid>
      <w:tr w:rsidR="003B660F" w:rsidRPr="00995F12" w:rsidTr="009B1B57">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9B1B57">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24 часа</w:t>
            </w:r>
          </w:p>
        </w:tc>
      </w:tr>
      <w:tr w:rsidR="003B660F" w:rsidRPr="00995F12" w:rsidTr="009B1B57">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Завтрак</w:t>
            </w:r>
          </w:p>
        </w:tc>
      </w:tr>
      <w:tr w:rsidR="003B660F" w:rsidRPr="00995F12" w:rsidTr="009B1B57">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второй завтрак</w:t>
            </w:r>
          </w:p>
        </w:tc>
      </w:tr>
      <w:tr w:rsidR="003B660F" w:rsidRPr="00995F12" w:rsidTr="009B1B57">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Обед</w:t>
            </w:r>
          </w:p>
        </w:tc>
      </w:tr>
      <w:tr w:rsidR="003B660F" w:rsidRPr="00995F12" w:rsidTr="009B1B57">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Полдник</w:t>
            </w:r>
          </w:p>
        </w:tc>
      </w:tr>
      <w:tr w:rsidR="003B660F" w:rsidRPr="00995F12" w:rsidTr="009B1B57">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Ужин</w:t>
            </w:r>
          </w:p>
        </w:tc>
      </w:tr>
      <w:tr w:rsidR="003B660F" w:rsidRPr="00995F12" w:rsidTr="009B1B57">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945"/>
      <w:bookmarkEnd w:id="15"/>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46"/>
        <w:gridCol w:w="1020"/>
        <w:gridCol w:w="4162"/>
        <w:gridCol w:w="1077"/>
      </w:tblGrid>
      <w:tr w:rsidR="003B660F" w:rsidRPr="00995F12" w:rsidTr="009B1B57">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Масса, г</w:t>
            </w:r>
          </w:p>
        </w:tc>
      </w:tr>
      <w:tr w:rsidR="003B660F" w:rsidRPr="00995F12" w:rsidTr="009B1B57">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96</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116</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97</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125</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120</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97</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104</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95</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104</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120</w:t>
            </w:r>
          </w:p>
        </w:tc>
      </w:tr>
      <w:tr w:rsidR="003B660F" w:rsidRPr="00995F12" w:rsidTr="009B1B57">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100</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17</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14</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17</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17,5</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12,5</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22</w:t>
            </w:r>
          </w:p>
        </w:tc>
      </w:tr>
      <w:tr w:rsidR="003B660F" w:rsidRPr="00995F12" w:rsidTr="009B1B57">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83</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105</w:t>
            </w:r>
          </w:p>
        </w:tc>
      </w:tr>
      <w:tr w:rsidR="003B660F" w:rsidRPr="00995F12" w:rsidTr="009B1B57">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31</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26</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30</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186</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w:t>
            </w:r>
          </w:p>
        </w:tc>
      </w:tr>
      <w:tr w:rsidR="003B660F" w:rsidRPr="00995F12" w:rsidTr="009B1B57">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87</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105</w:t>
            </w:r>
          </w:p>
        </w:tc>
      </w:tr>
      <w:tr w:rsidR="003B660F" w:rsidRPr="00995F12" w:rsidTr="009B1B57">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lastRenderedPageBreak/>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111</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80</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154</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118</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33</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40</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64</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300</w:t>
            </w:r>
          </w:p>
        </w:tc>
      </w:tr>
      <w:tr w:rsidR="003B660F" w:rsidRPr="00995F12" w:rsidTr="009B1B57">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200</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133</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133</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9B1B57">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9B1B57">
            <w:pPr>
              <w:pStyle w:val="ConsPlusNormal"/>
            </w:pP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left w:val="single" w:sz="4" w:space="0" w:color="auto"/>
              <w:right w:val="single" w:sz="4" w:space="0" w:color="auto"/>
            </w:tcBorders>
          </w:tcPr>
          <w:p w:rsidR="003B660F" w:rsidRPr="00995F12" w:rsidRDefault="003B660F" w:rsidP="009B1B57">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9B1B57">
            <w:pPr>
              <w:pStyle w:val="ConsPlusNormal"/>
              <w:jc w:val="center"/>
            </w:pPr>
            <w:r w:rsidRPr="00995F12">
              <w:t>12</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left w:val="single" w:sz="4" w:space="0" w:color="auto"/>
              <w:right w:val="single" w:sz="4" w:space="0" w:color="auto"/>
            </w:tcBorders>
          </w:tcPr>
          <w:p w:rsidR="003B660F" w:rsidRPr="00995F12" w:rsidRDefault="003B660F" w:rsidP="009B1B57">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9B1B57">
            <w:pPr>
              <w:pStyle w:val="ConsPlusNormal"/>
              <w:jc w:val="center"/>
            </w:pPr>
            <w:r w:rsidRPr="00995F12">
              <w:t>17</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left w:val="single" w:sz="4" w:space="0" w:color="auto"/>
              <w:right w:val="single" w:sz="4" w:space="0" w:color="auto"/>
            </w:tcBorders>
          </w:tcPr>
          <w:p w:rsidR="003B660F" w:rsidRPr="00995F12" w:rsidRDefault="003B660F" w:rsidP="009B1B57">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9B1B57">
            <w:pPr>
              <w:pStyle w:val="ConsPlusNormal"/>
              <w:jc w:val="center"/>
            </w:pPr>
            <w:r w:rsidRPr="00995F12">
              <w:t>8</w:t>
            </w:r>
          </w:p>
        </w:tc>
      </w:tr>
      <w:tr w:rsidR="003B660F" w:rsidRPr="00995F12" w:rsidTr="009B1B57">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9B1B57">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9B1B57">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2063"/>
      <w:bookmarkEnd w:id="16"/>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494"/>
        <w:gridCol w:w="1834"/>
        <w:gridCol w:w="4706"/>
      </w:tblGrid>
      <w:tr w:rsidR="003B660F" w:rsidRPr="00995F12" w:rsidTr="009B1B57">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Количество обязательных приемов пищи</w:t>
            </w:r>
          </w:p>
        </w:tc>
      </w:tr>
      <w:tr w:rsidR="003B660F" w:rsidRPr="00995F12" w:rsidTr="009B1B57">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2 приема пищи (приемы пищи определяются фактическим временем нахождения в организации)</w:t>
            </w:r>
          </w:p>
        </w:tc>
      </w:tr>
      <w:tr w:rsidR="003B660F" w:rsidRPr="00995F12" w:rsidTr="009B1B57">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 второй завтрак, обед и полдник</w:t>
            </w:r>
          </w:p>
        </w:tc>
      </w:tr>
      <w:tr w:rsidR="003B660F" w:rsidRPr="00995F12" w:rsidTr="009B1B57">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 второй завтрак, обед, полдник и ужин</w:t>
            </w:r>
          </w:p>
        </w:tc>
      </w:tr>
      <w:tr w:rsidR="003B660F" w:rsidRPr="00995F12" w:rsidTr="009B1B57">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 второй завтрак, обед, полдник, ужин, второй ужин</w:t>
            </w:r>
          </w:p>
        </w:tc>
      </w:tr>
      <w:tr w:rsidR="003B660F" w:rsidRPr="00995F12" w:rsidTr="009B1B57">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один прием пищи - завтрак или обед</w:t>
            </w:r>
          </w:p>
        </w:tc>
      </w:tr>
      <w:tr w:rsidR="003B660F" w:rsidRPr="00995F12" w:rsidTr="009B1B57">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9B1B57">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 обед, полдник, ужин, второй ужин</w:t>
            </w:r>
          </w:p>
        </w:tc>
      </w:tr>
      <w:tr w:rsidR="003B660F" w:rsidRPr="00995F12" w:rsidTr="009B1B57">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дополнительно к завтраку обед</w:t>
            </w:r>
          </w:p>
        </w:tc>
      </w:tr>
      <w:tr w:rsidR="003B660F" w:rsidRPr="00995F12" w:rsidTr="009B1B57">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дополнительно обед и полдник</w:t>
            </w:r>
          </w:p>
        </w:tc>
      </w:tr>
      <w:tr w:rsidR="003B660F" w:rsidRPr="00995F12" w:rsidTr="009B1B57">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дополнительно к завтраку обед</w:t>
            </w:r>
          </w:p>
        </w:tc>
      </w:tr>
      <w:tr w:rsidR="003B660F" w:rsidRPr="00995F12" w:rsidTr="009B1B57">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 и обед</w:t>
            </w:r>
          </w:p>
        </w:tc>
      </w:tr>
      <w:tr w:rsidR="003B660F" w:rsidRPr="00995F12" w:rsidTr="009B1B57">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 обед и полдник</w:t>
            </w:r>
          </w:p>
        </w:tc>
      </w:tr>
      <w:tr w:rsidR="003B660F" w:rsidRPr="00995F12" w:rsidTr="009B1B57">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 (возможен второй завтрак), обед, полдник, ужин, второй ужин</w:t>
            </w:r>
          </w:p>
        </w:tc>
      </w:tr>
      <w:tr w:rsidR="003B660F" w:rsidRPr="00995F12" w:rsidTr="009B1B57">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7" w:name="Par2112"/>
      <w:bookmarkEnd w:id="17"/>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lastRenderedPageBreak/>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B660F" w:rsidRPr="00995F12" w:rsidTr="009B1B57">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Отклонение от нормы в % (+/-)</w:t>
            </w:r>
          </w:p>
        </w:tc>
      </w:tr>
      <w:tr w:rsidR="003B660F" w:rsidRPr="00995F12" w:rsidTr="009B1B57">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jc w:val="center"/>
            </w:pPr>
          </w:p>
        </w:tc>
      </w:tr>
      <w:tr w:rsidR="003B660F" w:rsidRPr="00995F12" w:rsidTr="009B1B57">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r w:rsidR="003B660F" w:rsidRPr="00995F12" w:rsidTr="009B1B57">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9B1B57">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0" w:history="1">
        <w:r w:rsidRPr="00995F12">
          <w:rPr>
            <w:rStyle w:val="a3"/>
          </w:rPr>
          <w:t>гигиена труда</w:t>
        </w:r>
      </w:hyperlink>
      <w:r>
        <w:t xml:space="preserve"> на блог-инженера.рф</w:t>
      </w:r>
    </w:p>
    <w:sectPr w:rsidR="00677461" w:rsidRPr="002F05C6" w:rsidSect="00C36672">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8F5" w:rsidRDefault="004B58F5" w:rsidP="00C36672">
      <w:pPr>
        <w:spacing w:after="0" w:line="240" w:lineRule="auto"/>
      </w:pPr>
      <w:r>
        <w:separator/>
      </w:r>
    </w:p>
  </w:endnote>
  <w:endnote w:type="continuationSeparator" w:id="1">
    <w:p w:rsidR="004B58F5" w:rsidRDefault="004B58F5" w:rsidP="00C36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57" w:rsidRDefault="009B1B57">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57" w:rsidRDefault="009B1B5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8F5" w:rsidRDefault="004B58F5" w:rsidP="00C36672">
      <w:pPr>
        <w:spacing w:after="0" w:line="240" w:lineRule="auto"/>
      </w:pPr>
      <w:r>
        <w:separator/>
      </w:r>
    </w:p>
  </w:footnote>
  <w:footnote w:type="continuationSeparator" w:id="1">
    <w:p w:rsidR="004B58F5" w:rsidRDefault="004B58F5" w:rsidP="00C36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57" w:rsidRDefault="009B1B57">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B57" w:rsidRDefault="009B1B57">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B660F"/>
    <w:rsid w:val="002F05C6"/>
    <w:rsid w:val="003B660F"/>
    <w:rsid w:val="004B58F5"/>
    <w:rsid w:val="00677461"/>
    <w:rsid w:val="006C299D"/>
    <w:rsid w:val="009B1B57"/>
    <w:rsid w:val="00C36672"/>
    <w:rsid w:val="00C71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9B1B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B5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s://&#1073;&#1083;&#1086;&#1075;-&#1080;&#1085;&#1078;&#1077;&#1085;&#1077;&#1088;&#1072;.&#1088;&#1092;/gigiena-truda" TargetMode="Externa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51</Pages>
  <Words>15292</Words>
  <Characters>87165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lenovo</cp:lastModifiedBy>
  <cp:revision>2</cp:revision>
  <cp:lastPrinted>2021-02-26T05:33:00Z</cp:lastPrinted>
  <dcterms:created xsi:type="dcterms:W3CDTF">2020-11-17T19:52:00Z</dcterms:created>
  <dcterms:modified xsi:type="dcterms:W3CDTF">2021-02-26T05:41:00Z</dcterms:modified>
</cp:coreProperties>
</file>